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7E2A" w:rsidRDefault="00E97E2A" w:rsidP="00E97E2A">
      <w:pPr>
        <w:pStyle w:val="NormalWeb"/>
        <w:spacing w:before="0" w:beforeAutospacing="0" w:after="0" w:afterAutospacing="0" w:line="480" w:lineRule="auto"/>
        <w:ind w:left="720"/>
        <w:rPr>
          <w:b/>
          <w:color w:val="000000" w:themeColor="text1"/>
        </w:rPr>
      </w:pPr>
      <w:r>
        <w:rPr>
          <w:b/>
          <w:color w:val="000000" w:themeColor="text1"/>
        </w:rPr>
        <w:t>3.</w:t>
      </w:r>
    </w:p>
    <w:p w:rsidR="00E97E2A" w:rsidRPr="00E97E2A" w:rsidRDefault="00E97E2A" w:rsidP="00E97E2A">
      <w:pPr>
        <w:pStyle w:val="NormalWeb"/>
        <w:spacing w:before="0" w:beforeAutospacing="0" w:after="0" w:afterAutospacing="0" w:line="480" w:lineRule="auto"/>
        <w:rPr>
          <w:b/>
          <w:color w:val="000000" w:themeColor="text1"/>
        </w:rPr>
      </w:pPr>
      <w:r w:rsidRPr="00E97E2A">
        <w:rPr>
          <w:b/>
          <w:color w:val="000000" w:themeColor="text1"/>
        </w:rPr>
        <w:t>Due 7/25</w:t>
      </w:r>
    </w:p>
    <w:p w:rsidR="00E97E2A" w:rsidRPr="00E97E2A" w:rsidRDefault="00E97E2A" w:rsidP="00E97E2A">
      <w:pPr>
        <w:pStyle w:val="NormalWeb"/>
        <w:spacing w:before="0" w:beforeAutospacing="0" w:after="0" w:afterAutospacing="0" w:line="480" w:lineRule="auto"/>
        <w:ind w:firstLine="720"/>
        <w:rPr>
          <w:color w:val="0E101A"/>
        </w:rPr>
      </w:pPr>
      <w:r w:rsidRPr="00E97E2A">
        <w:rPr>
          <w:color w:val="0E101A"/>
        </w:rPr>
        <w:t>When starting an interview, a suspect is asked how evidence showed up in his/her apartment, but the suspects deny responsibility</w:t>
      </w:r>
      <w:r w:rsidRPr="00E97E2A">
        <w:rPr>
          <w:color w:val="0E101A"/>
        </w:rPr>
        <w:t xml:space="preserve"> (Pettigrew, 2018)</w:t>
      </w:r>
      <w:r w:rsidRPr="00E97E2A">
        <w:rPr>
          <w:color w:val="0E101A"/>
        </w:rPr>
        <w:t xml:space="preserve">. Denial of responsibility is a process when suspects do not agree with what the authorities are telling them. According to James and Gossett, serial killers have no guilt when committing their crimes because they do not believe in neutralization provided. </w:t>
      </w:r>
      <w:r w:rsidRPr="00E97E2A">
        <w:rPr>
          <w:color w:val="0E101A"/>
        </w:rPr>
        <w:t>The behaviors</w:t>
      </w:r>
      <w:r w:rsidRPr="00E97E2A">
        <w:rPr>
          <w:color w:val="0E101A"/>
        </w:rPr>
        <w:t xml:space="preserve"> of serial killers are determined by various factors such as psychological disorders, the rationality of events taking place, and their upbringing</w:t>
      </w:r>
      <w:r w:rsidRPr="00E97E2A">
        <w:rPr>
          <w:color w:val="0E101A"/>
        </w:rPr>
        <w:t xml:space="preserve"> (</w:t>
      </w:r>
      <w:r w:rsidRPr="00E97E2A">
        <w:rPr>
          <w:color w:val="222222"/>
          <w:shd w:val="clear" w:color="auto" w:fill="FFFFFF"/>
        </w:rPr>
        <w:t xml:space="preserve">James </w:t>
      </w:r>
      <w:r w:rsidRPr="00E97E2A">
        <w:rPr>
          <w:color w:val="222222"/>
          <w:shd w:val="clear" w:color="auto" w:fill="FFFFFF"/>
        </w:rPr>
        <w:t>&amp; Gossett</w:t>
      </w:r>
      <w:r w:rsidRPr="00E97E2A">
        <w:rPr>
          <w:color w:val="222222"/>
          <w:shd w:val="clear" w:color="auto" w:fill="FFFFFF"/>
        </w:rPr>
        <w:t>, 2018</w:t>
      </w:r>
      <w:r w:rsidRPr="00E97E2A">
        <w:rPr>
          <w:color w:val="0E101A"/>
        </w:rPr>
        <w:t>)</w:t>
      </w:r>
      <w:r w:rsidRPr="00E97E2A">
        <w:rPr>
          <w:color w:val="0E101A"/>
        </w:rPr>
        <w:t>. Most serial killers place demands in a social group such as gangs, cliques, and friendships. Since most offenders shift their focus, in an interview, it is important to know how to control and dismantle such behaviors from him to people accusing him. They do not focus on why they are being interrogated on their motives and behavior; the</w:t>
      </w:r>
      <w:bookmarkStart w:id="0" w:name="_GoBack"/>
      <w:bookmarkEnd w:id="0"/>
      <w:r w:rsidRPr="00E97E2A">
        <w:rPr>
          <w:color w:val="0E101A"/>
        </w:rPr>
        <w:t>y tend to be concerned about other parties. With such information, authorities need to set up procedures and practices such as monitoring heir speech and body language to ensure they are able to dismantle serial killer behaviors and motives. The authorities need to be aware of such procedures because they will able to produce their moves hence catching the killers.  </w:t>
      </w:r>
    </w:p>
    <w:p w:rsidR="00E97E2A" w:rsidRPr="001C178B" w:rsidRDefault="00E97E2A" w:rsidP="00E97E2A">
      <w:pPr>
        <w:pStyle w:val="NormalWeb"/>
        <w:spacing w:before="0" w:beforeAutospacing="0" w:after="0" w:afterAutospacing="0" w:line="480" w:lineRule="auto"/>
        <w:jc w:val="center"/>
        <w:rPr>
          <w:b/>
          <w:color w:val="0E101A"/>
        </w:rPr>
      </w:pPr>
      <w:r w:rsidRPr="001C178B">
        <w:rPr>
          <w:b/>
          <w:color w:val="0E101A"/>
        </w:rPr>
        <w:t>Reference</w:t>
      </w:r>
    </w:p>
    <w:p w:rsidR="00E97E2A" w:rsidRPr="00E97E2A" w:rsidRDefault="00E97E2A" w:rsidP="00E97E2A">
      <w:pPr>
        <w:pStyle w:val="NormalWeb"/>
        <w:spacing w:before="0" w:beforeAutospacing="0" w:after="0" w:afterAutospacing="0" w:line="480" w:lineRule="auto"/>
        <w:rPr>
          <w:color w:val="000000" w:themeColor="text1"/>
        </w:rPr>
      </w:pPr>
      <w:proofErr w:type="gramStart"/>
      <w:r w:rsidRPr="00E97E2A">
        <w:rPr>
          <w:color w:val="222222"/>
          <w:shd w:val="clear" w:color="auto" w:fill="FFFFFF"/>
        </w:rPr>
        <w:t>James, V., &amp; Gossett, J. (2018).</w:t>
      </w:r>
      <w:proofErr w:type="gramEnd"/>
      <w:r w:rsidRPr="00E97E2A">
        <w:rPr>
          <w:color w:val="222222"/>
          <w:shd w:val="clear" w:color="auto" w:fill="FFFFFF"/>
        </w:rPr>
        <w:t xml:space="preserve"> Of monsters and men: Explori</w:t>
      </w:r>
      <w:r>
        <w:rPr>
          <w:color w:val="222222"/>
          <w:shd w:val="clear" w:color="auto" w:fill="FFFFFF"/>
        </w:rPr>
        <w:t>ng serial murderers’ discourses</w:t>
      </w:r>
      <w:r>
        <w:rPr>
          <w:color w:val="222222"/>
          <w:shd w:val="clear" w:color="auto" w:fill="FFFFFF"/>
        </w:rPr>
        <w:tab/>
      </w:r>
      <w:r w:rsidRPr="00E97E2A">
        <w:rPr>
          <w:color w:val="222222"/>
          <w:shd w:val="clear" w:color="auto" w:fill="FFFFFF"/>
        </w:rPr>
        <w:t>of neutralization. </w:t>
      </w:r>
      <w:r w:rsidRPr="00E97E2A">
        <w:rPr>
          <w:i/>
          <w:iCs/>
          <w:color w:val="222222"/>
          <w:shd w:val="clear" w:color="auto" w:fill="FFFFFF"/>
        </w:rPr>
        <w:t>Deviant Behavior</w:t>
      </w:r>
      <w:r w:rsidRPr="00E97E2A">
        <w:rPr>
          <w:color w:val="222222"/>
          <w:shd w:val="clear" w:color="auto" w:fill="FFFFFF"/>
        </w:rPr>
        <w:t>, </w:t>
      </w:r>
      <w:r w:rsidRPr="00E97E2A">
        <w:rPr>
          <w:i/>
          <w:iCs/>
          <w:color w:val="222222"/>
          <w:shd w:val="clear" w:color="auto" w:fill="FFFFFF"/>
        </w:rPr>
        <w:t>39</w:t>
      </w:r>
      <w:r w:rsidRPr="00E97E2A">
        <w:rPr>
          <w:color w:val="222222"/>
          <w:shd w:val="clear" w:color="auto" w:fill="FFFFFF"/>
        </w:rPr>
        <w:t>(9), 1120-1139.</w:t>
      </w:r>
    </w:p>
    <w:p w:rsidR="00E97E2A" w:rsidRPr="00E97E2A" w:rsidRDefault="00E97E2A" w:rsidP="00E97E2A">
      <w:pPr>
        <w:pStyle w:val="NormalWeb"/>
        <w:spacing w:before="0" w:beforeAutospacing="0" w:after="0" w:afterAutospacing="0" w:line="480" w:lineRule="auto"/>
        <w:rPr>
          <w:color w:val="000000" w:themeColor="text1"/>
        </w:rPr>
      </w:pPr>
      <w:hyperlink r:id="rId6" w:tgtFrame="_blank" w:history="1">
        <w:r w:rsidRPr="00E97E2A">
          <w:rPr>
            <w:rStyle w:val="Hyperlink"/>
            <w:color w:val="000000" w:themeColor="text1"/>
            <w:u w:val="none"/>
          </w:rPr>
          <w:t>Pettigrew, M., (2018). Confessions of a serial killer: A neutralization analysis. </w:t>
        </w:r>
        <w:r>
          <w:rPr>
            <w:rStyle w:val="Emphasis"/>
            <w:color w:val="000000" w:themeColor="text1"/>
          </w:rPr>
          <w:t>Homicide</w:t>
        </w:r>
        <w:r>
          <w:rPr>
            <w:rStyle w:val="Emphasis"/>
            <w:color w:val="000000" w:themeColor="text1"/>
          </w:rPr>
          <w:tab/>
        </w:r>
        <w:r w:rsidRPr="00E97E2A">
          <w:rPr>
            <w:rStyle w:val="Emphasis"/>
            <w:color w:val="000000" w:themeColor="text1"/>
          </w:rPr>
          <w:t>Studies</w:t>
        </w:r>
        <w:r w:rsidRPr="00E97E2A">
          <w:rPr>
            <w:rStyle w:val="Hyperlink"/>
            <w:color w:val="000000" w:themeColor="text1"/>
            <w:u w:val="none"/>
          </w:rPr>
          <w:t>, 1-16, DOI: 10.1177/1088767918793674</w:t>
        </w:r>
      </w:hyperlink>
    </w:p>
    <w:p w:rsidR="00E97E2A" w:rsidRDefault="00E97E2A" w:rsidP="00E97E2A">
      <w:pPr>
        <w:pStyle w:val="NormalWeb"/>
        <w:spacing w:before="0" w:beforeAutospacing="0" w:after="0" w:afterAutospacing="0" w:line="480" w:lineRule="auto"/>
        <w:rPr>
          <w:b/>
          <w:color w:val="0E101A"/>
        </w:rPr>
      </w:pPr>
    </w:p>
    <w:p w:rsidR="00E97E2A" w:rsidRDefault="00E97E2A" w:rsidP="00E97E2A">
      <w:pPr>
        <w:pStyle w:val="NormalWeb"/>
        <w:spacing w:before="0" w:beforeAutospacing="0" w:after="0" w:afterAutospacing="0" w:line="480" w:lineRule="auto"/>
        <w:rPr>
          <w:b/>
          <w:color w:val="0E101A"/>
        </w:rPr>
      </w:pPr>
    </w:p>
    <w:p w:rsidR="00E97E2A" w:rsidRDefault="00E97E2A" w:rsidP="00E97E2A">
      <w:pPr>
        <w:pStyle w:val="NormalWeb"/>
        <w:spacing w:before="0" w:beforeAutospacing="0" w:after="0" w:afterAutospacing="0" w:line="480" w:lineRule="auto"/>
        <w:rPr>
          <w:b/>
          <w:color w:val="0E101A"/>
        </w:rPr>
      </w:pPr>
    </w:p>
    <w:p w:rsidR="00E97E2A" w:rsidRDefault="00E97E2A" w:rsidP="00E97E2A">
      <w:pPr>
        <w:pStyle w:val="NormalWeb"/>
        <w:spacing w:before="0" w:beforeAutospacing="0" w:after="0" w:afterAutospacing="0" w:line="480" w:lineRule="auto"/>
        <w:ind w:left="720"/>
        <w:rPr>
          <w:b/>
          <w:color w:val="0E101A"/>
        </w:rPr>
      </w:pPr>
      <w:r>
        <w:rPr>
          <w:b/>
          <w:color w:val="0E101A"/>
        </w:rPr>
        <w:lastRenderedPageBreak/>
        <w:t>4.</w:t>
      </w:r>
    </w:p>
    <w:p w:rsidR="00E97E2A" w:rsidRPr="00E97E2A" w:rsidRDefault="00E97E2A" w:rsidP="00E97E2A">
      <w:pPr>
        <w:pStyle w:val="NormalWeb"/>
        <w:spacing w:before="0" w:beforeAutospacing="0" w:after="0" w:afterAutospacing="0" w:line="480" w:lineRule="auto"/>
        <w:rPr>
          <w:b/>
          <w:color w:val="0E101A"/>
        </w:rPr>
      </w:pPr>
      <w:r w:rsidRPr="00E97E2A">
        <w:rPr>
          <w:b/>
          <w:color w:val="0E101A"/>
        </w:rPr>
        <w:t>Due 7/27</w:t>
      </w:r>
    </w:p>
    <w:p w:rsidR="00E97E2A" w:rsidRPr="00E97E2A" w:rsidRDefault="00E97E2A" w:rsidP="00E97E2A">
      <w:pPr>
        <w:pStyle w:val="NormalWeb"/>
        <w:spacing w:before="0" w:beforeAutospacing="0" w:after="0" w:afterAutospacing="0" w:line="480" w:lineRule="auto"/>
        <w:ind w:firstLine="720"/>
        <w:rPr>
          <w:color w:val="0E101A"/>
        </w:rPr>
      </w:pPr>
      <w:r w:rsidRPr="00E97E2A">
        <w:rPr>
          <w:color w:val="0E101A"/>
        </w:rPr>
        <w:t>Recognition is the process here clues are given to a certain topic making the candidate aware of the subject being discussed; hence the memory can retrieve the desired information. The recall process does not give hints or clues about the subject; hence, the required information retrieval process becomes difficult. In an interview, information can be recalled while maintaining accuracy by a candidate by increasing the correct units of information. Recognition is important since it makes the witness aware of what id discuses and answer relatable questions correctly. The major limitation of using a composite facial system is that it impairs the eyewitness ability to recognize a person later in a line-up. Enhanced Cognitive Interview (ECI) increases efficiency since it comprises mnemonics and instructions that have a positive effect on the ECI superiority effect</w:t>
      </w:r>
      <w:r w:rsidRPr="00E97E2A">
        <w:rPr>
          <w:color w:val="0E101A"/>
        </w:rPr>
        <w:t xml:space="preserve"> (Paulo et al,. 2016)</w:t>
      </w:r>
      <w:r w:rsidRPr="00E97E2A">
        <w:rPr>
          <w:color w:val="0E101A"/>
        </w:rPr>
        <w:t>. ECI is used in several countries by police officers since it consists of procedures such as establishing a good rapport, context of mental reinstatement, and eye closure. Category cluster recall is an effective recall strategy because recalling a crime under the cluster category might be compatible with the witness. Cluster strategy is advantageous over the temporal clustering since it recalling information in reverse order is a demanding task which is useful in increasing cognitive load. </w:t>
      </w:r>
    </w:p>
    <w:p w:rsidR="00E97E2A" w:rsidRPr="001C178B" w:rsidRDefault="00E97E2A" w:rsidP="00E97E2A">
      <w:pPr>
        <w:pStyle w:val="NormalWeb"/>
        <w:spacing w:before="0" w:beforeAutospacing="0" w:after="0" w:afterAutospacing="0" w:line="480" w:lineRule="auto"/>
        <w:jc w:val="center"/>
        <w:rPr>
          <w:b/>
          <w:color w:val="000000" w:themeColor="text1"/>
        </w:rPr>
      </w:pPr>
      <w:r w:rsidRPr="001C178B">
        <w:rPr>
          <w:b/>
          <w:color w:val="000000" w:themeColor="text1"/>
        </w:rPr>
        <w:t>Reference</w:t>
      </w:r>
    </w:p>
    <w:p w:rsidR="00E97E2A" w:rsidRDefault="00E97E2A" w:rsidP="00E97E2A">
      <w:pPr>
        <w:pStyle w:val="NormalWeb"/>
        <w:spacing w:before="0" w:beforeAutospacing="0" w:after="0" w:afterAutospacing="0" w:line="480" w:lineRule="auto"/>
        <w:rPr>
          <w:color w:val="000000" w:themeColor="text1"/>
        </w:rPr>
      </w:pPr>
      <w:hyperlink r:id="rId7" w:tgtFrame="_blank" w:history="1">
        <w:proofErr w:type="gramStart"/>
        <w:r w:rsidRPr="00E97E2A">
          <w:rPr>
            <w:rStyle w:val="Hyperlink"/>
            <w:color w:val="000000" w:themeColor="text1"/>
            <w:u w:val="none"/>
          </w:rPr>
          <w:t>Paulo, R.M., Albuquerque, P.B., and Bull, R. (2016).</w:t>
        </w:r>
        <w:proofErr w:type="gramEnd"/>
        <w:r w:rsidRPr="00E97E2A">
          <w:rPr>
            <w:rStyle w:val="Hyperlink"/>
            <w:color w:val="000000" w:themeColor="text1"/>
            <w:u w:val="none"/>
          </w:rPr>
          <w:t xml:space="preserve"> I</w:t>
        </w:r>
        <w:r>
          <w:rPr>
            <w:rStyle w:val="Hyperlink"/>
            <w:color w:val="000000" w:themeColor="text1"/>
            <w:u w:val="none"/>
          </w:rPr>
          <w:t>mproving the Enhanced Cognitive</w:t>
        </w:r>
        <w:r>
          <w:rPr>
            <w:rStyle w:val="Hyperlink"/>
            <w:color w:val="000000" w:themeColor="text1"/>
            <w:u w:val="none"/>
          </w:rPr>
          <w:tab/>
        </w:r>
        <w:r w:rsidRPr="00E97E2A">
          <w:rPr>
            <w:rStyle w:val="Hyperlink"/>
            <w:color w:val="000000" w:themeColor="text1"/>
            <w:u w:val="none"/>
          </w:rPr>
          <w:t>Interview with a New Interview Strategy: Cate</w:t>
        </w:r>
        <w:r>
          <w:rPr>
            <w:rStyle w:val="Hyperlink"/>
            <w:color w:val="000000" w:themeColor="text1"/>
            <w:u w:val="none"/>
          </w:rPr>
          <w:t>gory Clustering Recall. Applied</w:t>
        </w:r>
        <w:r>
          <w:rPr>
            <w:rStyle w:val="Hyperlink"/>
            <w:color w:val="000000" w:themeColor="text1"/>
            <w:u w:val="none"/>
          </w:rPr>
          <w:tab/>
        </w:r>
        <w:r w:rsidRPr="00E97E2A">
          <w:rPr>
            <w:rStyle w:val="Hyperlink"/>
            <w:color w:val="000000" w:themeColor="text1"/>
            <w:u w:val="none"/>
          </w:rPr>
          <w:t xml:space="preserve">Cognitive Psychology, Appl. </w:t>
        </w:r>
        <w:proofErr w:type="spellStart"/>
        <w:r w:rsidRPr="00E97E2A">
          <w:rPr>
            <w:rStyle w:val="Hyperlink"/>
            <w:color w:val="000000" w:themeColor="text1"/>
            <w:u w:val="none"/>
          </w:rPr>
          <w:t>Cognit</w:t>
        </w:r>
        <w:proofErr w:type="spellEnd"/>
        <w:r w:rsidRPr="00E97E2A">
          <w:rPr>
            <w:rStyle w:val="Hyperlink"/>
            <w:color w:val="000000" w:themeColor="text1"/>
            <w:u w:val="none"/>
          </w:rPr>
          <w:t>. Psychol. 30: 775–784</w:t>
        </w:r>
      </w:hyperlink>
    </w:p>
    <w:p w:rsidR="00E97E2A" w:rsidRDefault="00E97E2A" w:rsidP="00E97E2A">
      <w:pPr>
        <w:pStyle w:val="NormalWeb"/>
        <w:spacing w:before="0" w:beforeAutospacing="0" w:after="0" w:afterAutospacing="0" w:line="480" w:lineRule="auto"/>
        <w:rPr>
          <w:color w:val="000000" w:themeColor="text1"/>
        </w:rPr>
      </w:pPr>
    </w:p>
    <w:p w:rsidR="00E97E2A" w:rsidRDefault="00E97E2A" w:rsidP="00E97E2A">
      <w:pPr>
        <w:pStyle w:val="NormalWeb"/>
        <w:spacing w:before="0" w:beforeAutospacing="0" w:after="0" w:afterAutospacing="0" w:line="480" w:lineRule="auto"/>
        <w:rPr>
          <w:color w:val="000000" w:themeColor="text1"/>
        </w:rPr>
      </w:pPr>
    </w:p>
    <w:p w:rsidR="00E97E2A" w:rsidRDefault="00E97E2A" w:rsidP="00E97E2A">
      <w:pPr>
        <w:pStyle w:val="NormalWeb"/>
        <w:spacing w:before="0" w:beforeAutospacing="0" w:after="0" w:afterAutospacing="0" w:line="480" w:lineRule="auto"/>
        <w:rPr>
          <w:color w:val="000000" w:themeColor="text1"/>
        </w:rPr>
      </w:pPr>
    </w:p>
    <w:p w:rsidR="00E97E2A" w:rsidRPr="00E97E2A" w:rsidRDefault="00E97E2A" w:rsidP="00E97E2A">
      <w:pPr>
        <w:pStyle w:val="NormalWeb"/>
        <w:spacing w:before="0" w:beforeAutospacing="0" w:after="0" w:afterAutospacing="0" w:line="480" w:lineRule="auto"/>
        <w:ind w:left="720"/>
        <w:rPr>
          <w:b/>
          <w:color w:val="000000" w:themeColor="text1"/>
        </w:rPr>
      </w:pPr>
      <w:r w:rsidRPr="00E97E2A">
        <w:rPr>
          <w:b/>
          <w:color w:val="000000" w:themeColor="text1"/>
        </w:rPr>
        <w:lastRenderedPageBreak/>
        <w:t>5.</w:t>
      </w:r>
    </w:p>
    <w:p w:rsidR="00E97E2A" w:rsidRPr="00E97E2A" w:rsidRDefault="00E97E2A" w:rsidP="00E97E2A">
      <w:pPr>
        <w:pStyle w:val="NormalWeb"/>
        <w:spacing w:before="0" w:beforeAutospacing="0" w:after="0" w:afterAutospacing="0" w:line="480" w:lineRule="auto"/>
        <w:rPr>
          <w:b/>
          <w:color w:val="0E101A"/>
        </w:rPr>
      </w:pPr>
      <w:r w:rsidRPr="00E97E2A">
        <w:rPr>
          <w:b/>
          <w:color w:val="0E101A"/>
        </w:rPr>
        <w:t>Due 7/29</w:t>
      </w:r>
    </w:p>
    <w:p w:rsidR="00E97E2A" w:rsidRPr="00E97E2A" w:rsidRDefault="00E97E2A" w:rsidP="00E97E2A">
      <w:pPr>
        <w:pStyle w:val="NormalWeb"/>
        <w:spacing w:before="0" w:beforeAutospacing="0" w:after="0" w:afterAutospacing="0" w:line="480" w:lineRule="auto"/>
        <w:ind w:firstLine="720"/>
        <w:rPr>
          <w:color w:val="0E101A"/>
        </w:rPr>
      </w:pPr>
      <w:r w:rsidRPr="00E97E2A">
        <w:rPr>
          <w:color w:val="0E101A"/>
        </w:rPr>
        <w:t>Questionable line-up procedures and misrepresentation during a trial are the common dynamics that impact the reliability of eyewitness testimony. When an eyewitness provides information about an event, the police should not contaminate the witness's memories. Therefore, the police should avoid conducting the suspects' line-up procedures without recording because it captures any errors on the authorities' part. Misrepresentation occurs when an eyewitness who is testifying receives feedback from the authorities might identify a wrong person, affecting the reliability of her/his testimonies. In America, these dynamics are dealt with by not allowing lice officers to imply the eyewitness that the perpetrator will be in the line-up. This process is effective since it allows the eyewitness to retrieve his/her memories without law enforcement. On forensic matters, DNA results indicate the level of definite the results are</w:t>
      </w:r>
      <w:r w:rsidRPr="00E97E2A">
        <w:rPr>
          <w:color w:val="0E101A"/>
        </w:rPr>
        <w:t xml:space="preserve"> (Wixted et al,. 2018)</w:t>
      </w:r>
      <w:r w:rsidRPr="00E97E2A">
        <w:rPr>
          <w:color w:val="0E101A"/>
        </w:rPr>
        <w:t>. As the supervisor, i will ensure the crime-scene is not contaminated because contamination will lead to either no or wrong results, affecting the outcome of testimonies. Better understandings of the electropherogram will enhance outcomes in an interview because I will know DNA tests presentation and facts about how it works. Electropherogram is a graph where all the DNA tests are summarized, displaying sharp peaks reflecting DNA amounts. </w:t>
      </w:r>
    </w:p>
    <w:p w:rsidR="00E97E2A" w:rsidRPr="001C178B" w:rsidRDefault="00E97E2A" w:rsidP="00E97E2A">
      <w:pPr>
        <w:pStyle w:val="NormalWeb"/>
        <w:spacing w:before="0" w:beforeAutospacing="0" w:after="0" w:afterAutospacing="0" w:line="480" w:lineRule="auto"/>
        <w:jc w:val="center"/>
        <w:rPr>
          <w:b/>
          <w:color w:val="000000" w:themeColor="text1"/>
        </w:rPr>
      </w:pPr>
      <w:r w:rsidRPr="001C178B">
        <w:rPr>
          <w:b/>
          <w:color w:val="000000" w:themeColor="text1"/>
        </w:rPr>
        <w:t>Reference</w:t>
      </w:r>
    </w:p>
    <w:p w:rsidR="00E97E2A" w:rsidRPr="00E97E2A" w:rsidRDefault="00E97E2A" w:rsidP="00E97E2A">
      <w:pPr>
        <w:pStyle w:val="NormalWeb"/>
        <w:spacing w:before="0" w:beforeAutospacing="0" w:after="0" w:afterAutospacing="0" w:line="480" w:lineRule="auto"/>
        <w:rPr>
          <w:color w:val="000000" w:themeColor="text1"/>
        </w:rPr>
      </w:pPr>
      <w:hyperlink r:id="rId8" w:tgtFrame="_blank" w:history="1">
        <w:proofErr w:type="gramStart"/>
        <w:r w:rsidRPr="00E97E2A">
          <w:rPr>
            <w:rStyle w:val="Hyperlink"/>
            <w:color w:val="000000" w:themeColor="text1"/>
            <w:u w:val="none"/>
          </w:rPr>
          <w:t xml:space="preserve">Wixted, J., </w:t>
        </w:r>
        <w:proofErr w:type="spellStart"/>
        <w:r w:rsidRPr="00E97E2A">
          <w:rPr>
            <w:rStyle w:val="Hyperlink"/>
            <w:color w:val="000000" w:themeColor="text1"/>
            <w:u w:val="none"/>
          </w:rPr>
          <w:t>Mickes</w:t>
        </w:r>
        <w:proofErr w:type="spellEnd"/>
        <w:r w:rsidRPr="00E97E2A">
          <w:rPr>
            <w:rStyle w:val="Hyperlink"/>
            <w:color w:val="000000" w:themeColor="text1"/>
            <w:u w:val="none"/>
          </w:rPr>
          <w:t>, L., &amp; Fisher, R. (2018).</w:t>
        </w:r>
        <w:proofErr w:type="gramEnd"/>
        <w:r w:rsidRPr="00E97E2A">
          <w:rPr>
            <w:rStyle w:val="Hyperlink"/>
            <w:color w:val="000000" w:themeColor="text1"/>
            <w:u w:val="none"/>
          </w:rPr>
          <w:t xml:space="preserve"> Rethinking the reliability of eyewitness memory. </w:t>
        </w:r>
        <w:r w:rsidRPr="00E97E2A">
          <w:rPr>
            <w:rStyle w:val="Emphasis"/>
            <w:color w:val="000000" w:themeColor="text1"/>
          </w:rPr>
          <w:t>Perspectives on Psychological Science,</w:t>
        </w:r>
        <w:r w:rsidRPr="00E97E2A">
          <w:rPr>
            <w:rStyle w:val="Hyperlink"/>
            <w:color w:val="000000" w:themeColor="text1"/>
            <w:u w:val="none"/>
          </w:rPr>
          <w:t> </w:t>
        </w:r>
        <w:r w:rsidRPr="00E97E2A">
          <w:rPr>
            <w:rStyle w:val="Emphasis"/>
            <w:color w:val="000000" w:themeColor="text1"/>
          </w:rPr>
          <w:t>13</w:t>
        </w:r>
        <w:r w:rsidRPr="00E97E2A">
          <w:rPr>
            <w:rStyle w:val="Hyperlink"/>
            <w:color w:val="000000" w:themeColor="text1"/>
            <w:u w:val="none"/>
          </w:rPr>
          <w:t xml:space="preserve">(3), 324-335. </w:t>
        </w:r>
        <w:proofErr w:type="gramStart"/>
        <w:r w:rsidRPr="00E97E2A">
          <w:rPr>
            <w:rStyle w:val="Hyperlink"/>
            <w:color w:val="000000" w:themeColor="text1"/>
            <w:u w:val="none"/>
          </w:rPr>
          <w:t>doi:</w:t>
        </w:r>
        <w:proofErr w:type="gramEnd"/>
        <w:r w:rsidRPr="00E97E2A">
          <w:rPr>
            <w:rStyle w:val="Hyperlink"/>
            <w:color w:val="000000" w:themeColor="text1"/>
            <w:u w:val="none"/>
          </w:rPr>
          <w:t>10.1177/1745691617734878</w:t>
        </w:r>
      </w:hyperlink>
    </w:p>
    <w:p w:rsidR="00E97E2A" w:rsidRPr="00E97E2A" w:rsidRDefault="00E97E2A" w:rsidP="00E97E2A">
      <w:pPr>
        <w:pStyle w:val="NormalWeb"/>
        <w:spacing w:before="0" w:beforeAutospacing="0" w:after="0" w:afterAutospacing="0" w:line="480" w:lineRule="auto"/>
        <w:rPr>
          <w:color w:val="0E101A"/>
        </w:rPr>
      </w:pPr>
    </w:p>
    <w:p w:rsidR="00E97E2A" w:rsidRPr="00E97E2A" w:rsidRDefault="00E97E2A" w:rsidP="00E97E2A">
      <w:pPr>
        <w:pStyle w:val="NormalWeb"/>
        <w:spacing w:before="0" w:beforeAutospacing="0" w:after="0" w:afterAutospacing="0" w:line="480" w:lineRule="auto"/>
        <w:rPr>
          <w:color w:val="0E101A"/>
        </w:rPr>
      </w:pPr>
    </w:p>
    <w:p w:rsidR="00223490" w:rsidRPr="00E97E2A" w:rsidRDefault="00223490" w:rsidP="00E97E2A">
      <w:pPr>
        <w:spacing w:after="0" w:line="480" w:lineRule="auto"/>
        <w:rPr>
          <w:rFonts w:ascii="Times New Roman" w:hAnsi="Times New Roman" w:cs="Times New Roman"/>
          <w:sz w:val="24"/>
          <w:szCs w:val="24"/>
        </w:rPr>
      </w:pPr>
    </w:p>
    <w:sectPr w:rsidR="00223490" w:rsidRPr="00E97E2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AE2AAC"/>
    <w:multiLevelType w:val="hybridMultilevel"/>
    <w:tmpl w:val="669CFD1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1EC34F6"/>
    <w:multiLevelType w:val="hybridMultilevel"/>
    <w:tmpl w:val="106EAAB2"/>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97A1E7F"/>
    <w:multiLevelType w:val="hybridMultilevel"/>
    <w:tmpl w:val="340AC6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FCB6F03"/>
    <w:multiLevelType w:val="hybridMultilevel"/>
    <w:tmpl w:val="22D248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5D780E97"/>
    <w:multiLevelType w:val="hybridMultilevel"/>
    <w:tmpl w:val="D63EC1F2"/>
    <w:lvl w:ilvl="0" w:tplc="66B6E190">
      <w:start w:val="1"/>
      <w:numFmt w:val="decimal"/>
      <w:lvlText w:val="%1."/>
      <w:lvlJc w:val="left"/>
      <w:pPr>
        <w:ind w:left="720" w:hanging="360"/>
      </w:pPr>
      <w:rPr>
        <w:rFonts w:ascii="Arial" w:hAnsi="Arial" w:cs="Arial" w:hint="default"/>
        <w:color w:val="494C4E"/>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2432"/>
    <w:rsid w:val="000B61C0"/>
    <w:rsid w:val="001C178B"/>
    <w:rsid w:val="00223490"/>
    <w:rsid w:val="00432432"/>
    <w:rsid w:val="0045207C"/>
    <w:rsid w:val="0046028D"/>
    <w:rsid w:val="00861055"/>
    <w:rsid w:val="00C3504A"/>
    <w:rsid w:val="00E97E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97E2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E97E2A"/>
    <w:rPr>
      <w:color w:val="0000FF"/>
      <w:u w:val="single"/>
    </w:rPr>
  </w:style>
  <w:style w:type="character" w:styleId="Emphasis">
    <w:name w:val="Emphasis"/>
    <w:basedOn w:val="DefaultParagraphFont"/>
    <w:uiPriority w:val="20"/>
    <w:qFormat/>
    <w:rsid w:val="00E97E2A"/>
    <w:rPr>
      <w:i/>
      <w:iCs/>
    </w:rPr>
  </w:style>
  <w:style w:type="paragraph" w:styleId="ListParagraph">
    <w:name w:val="List Paragraph"/>
    <w:basedOn w:val="Normal"/>
    <w:uiPriority w:val="34"/>
    <w:qFormat/>
    <w:rsid w:val="00E97E2A"/>
    <w:pPr>
      <w:spacing w:after="160" w:line="259" w:lineRule="auto"/>
      <w:ind w:left="720"/>
      <w:contextualSpacing/>
    </w:pPr>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97E2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E97E2A"/>
    <w:rPr>
      <w:color w:val="0000FF"/>
      <w:u w:val="single"/>
    </w:rPr>
  </w:style>
  <w:style w:type="character" w:styleId="Emphasis">
    <w:name w:val="Emphasis"/>
    <w:basedOn w:val="DefaultParagraphFont"/>
    <w:uiPriority w:val="20"/>
    <w:qFormat/>
    <w:rsid w:val="00E97E2A"/>
    <w:rPr>
      <w:i/>
      <w:iCs/>
    </w:rPr>
  </w:style>
  <w:style w:type="paragraph" w:styleId="ListParagraph">
    <w:name w:val="List Paragraph"/>
    <w:basedOn w:val="Normal"/>
    <w:uiPriority w:val="34"/>
    <w:qFormat/>
    <w:rsid w:val="00E97E2A"/>
    <w:pPr>
      <w:spacing w:after="160" w:line="259" w:lineRule="auto"/>
      <w:ind w:left="720"/>
      <w:contextualSpacing/>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4903487">
      <w:bodyDiv w:val="1"/>
      <w:marLeft w:val="0"/>
      <w:marRight w:val="0"/>
      <w:marTop w:val="0"/>
      <w:marBottom w:val="0"/>
      <w:divBdr>
        <w:top w:val="none" w:sz="0" w:space="0" w:color="auto"/>
        <w:left w:val="none" w:sz="0" w:space="0" w:color="auto"/>
        <w:bottom w:val="none" w:sz="0" w:space="0" w:color="auto"/>
        <w:right w:val="none" w:sz="0" w:space="0" w:color="auto"/>
      </w:divBdr>
    </w:div>
    <w:div w:id="2067988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aintleo.brightspace.com/d2l/common/dialogs/quickLink/quickLink.d2l?ou=100225&amp;type=content&amp;rcode=630BDD33-62E6-4B72-9B49-CA3B4872FB4B-1174721" TargetMode="External"/><Relationship Id="rId3" Type="http://schemas.microsoft.com/office/2007/relationships/stylesWithEffects" Target="stylesWithEffects.xml"/><Relationship Id="rId7" Type="http://schemas.openxmlformats.org/officeDocument/2006/relationships/hyperlink" Target="https://saintleo.brightspace.com/d2l/common/dialogs/quickLink/quickLink.d2l?ou=100225&amp;type=content&amp;rcode=630BDD33-62E6-4B72-9B49-CA3B4872FB4B-117472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aintleo.brightspace.com/d2l/common/dialogs/quickLink/quickLink.d2l?ou=100225&amp;type=content&amp;rcode=630BDD33-62E6-4B72-9B49-CA3B4872FB4B-1174719"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TotalTime>
  <Pages>3</Pages>
  <Words>801</Words>
  <Characters>4569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2020-07-17T21:22:00Z</dcterms:created>
  <dcterms:modified xsi:type="dcterms:W3CDTF">2020-07-18T00:19:00Z</dcterms:modified>
</cp:coreProperties>
</file>